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sz w:val="28"/>
        </w:rPr>
        <w:t xml:space="preserve">Communication and record-keeping clause (for parenting plans and settlement agreements)</w:t>
      </w:r>
    </w:p>
    <w:p>
      <w:pPr>
        <w:spacing w:after="160"/>
      </w:pPr>
      <w:r>
        <w:rPr>
          <w:sz w:val="22"/>
        </w:rPr>
        <w:t xml:space="preserve">1. The parties shall conduct all communication concerning the minor children, including arrangements for contact, care, maintenance, education and health, through the Standpoint Family platform operated by TownConnect (Pty) Ltd, save in an emergency, in which event the emergency communication shall be recorded on the platform within 24 hours.</w:t>
      </w:r>
    </w:p>
    <w:p>
      <w:pPr>
        <w:spacing w:after="160"/>
      </w:pPr>
      <w:r>
        <w:rPr>
          <w:sz w:val="22"/>
        </w:rPr>
        <w:t xml:space="preserve">2. Each party shall maintain an active account on the platform and shall not disable notifications from it.</w:t>
      </w:r>
    </w:p>
    <w:p>
      <w:pPr>
        <w:spacing w:after="160"/>
      </w:pPr>
      <w:r>
        <w:rPr>
          <w:sz w:val="22"/>
        </w:rPr>
        <w:t xml:space="preserve">3. All maintenance payments and all expenses claimed in respect of the minor children shall be recorded on the platform with proof of payment within seven days.</w:t>
      </w:r>
    </w:p>
    <w:p>
      <w:pPr>
        <w:spacing w:after="160"/>
      </w:pPr>
      <w:r>
        <w:rPr>
          <w:sz w:val="22"/>
        </w:rPr>
        <w:t xml:space="preserve">4. All handovers, contact periods and any failure or lateness in respect of them shall be recorded on the platform on the day they occur.</w:t>
      </w:r>
    </w:p>
    <w:p>
      <w:pPr>
        <w:spacing w:after="160"/>
      </w:pPr>
      <w:r>
        <w:rPr>
          <w:sz w:val="22"/>
        </w:rPr>
        <w:t xml:space="preserve">5. The record kept on the platform, together with a certificate of record issued by an officer of TownConnect (Pty) Ltd, shall be admissible in any proceedings between the parties as proof of the communications, payments and events recorded on it, without further proof, subject to the right of either party to rebut its accuracy.</w:t>
      </w:r>
    </w:p>
    <w:p>
      <w:pPr>
        <w:spacing w:after="160"/>
      </w:pPr>
      <w:r>
        <w:rPr>
          <w:sz w:val="22"/>
        </w:rPr>
        <w:t xml:space="preserve">6. The costs of the platform shall be borne [equally by the parties / by the party paying maintenance / as the court directs].</w:t>
      </w:r>
    </w:p>
    <w:p>
      <w:pPr>
        <w:spacing w:after="160"/>
      </w:pPr>
      <w:r>
        <w:rPr>
          <w:sz w:val="22"/>
        </w:rPr>
        <w:t xml:space="preserve">7. Should either party cease to use the platform, the other party's record on the platform shall nonetheless be admissible as set out in clause 5.</w:t>
      </w:r>
    </w:p>
    <w:p>
      <w:pPr>
        <w:spacing w:after="160"/>
      </w:pPr>
      <w:r>
        <w:rPr>
          <w:i/>
          <w:sz w:val="18"/>
        </w:rPr>
        <w:t xml:space="preserve">Approved by an admitted South African attorney. Free to use. Standpoint Family is operated by TownConnect (Pty) Ltd, 2026/106250/07. Version 1.0, 18 September 2026.</w:t>
      </w:r>
    </w:p>
    <w:sectPr>
      <w:pgSz w:w="11906" w:h="16838"/>
      <w:pgMar w:top="1440" w:right="1440" w:bottom="1440" w:left="1440" w:header="708" w:footer="708" w:gutter="0"/>
    </w:sectPr>
  </w:body>
</w:document>
</file>